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57415" w14:textId="77777777" w:rsidR="00CE3918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b/>
          <w:sz w:val="28"/>
          <w:szCs w:val="24"/>
          <w:lang w:val="en-GB"/>
        </w:rPr>
      </w:pPr>
    </w:p>
    <w:p w14:paraId="53A33394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8"/>
          <w:szCs w:val="24"/>
          <w:lang w:val="en-GB"/>
        </w:rPr>
      </w:pPr>
      <w:r w:rsidRPr="008E4586">
        <w:rPr>
          <w:rFonts w:asciiTheme="minorHAnsi" w:hAnsiTheme="minorHAnsi" w:cstheme="minorHAnsi"/>
          <w:b/>
          <w:sz w:val="28"/>
          <w:szCs w:val="24"/>
          <w:lang w:val="en-GB"/>
        </w:rPr>
        <w:t xml:space="preserve">Appendix – Academy specific information </w:t>
      </w:r>
    </w:p>
    <w:p w14:paraId="36FE8876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5DC5EC95" w14:textId="0FFEED8A" w:rsidR="00CE3918" w:rsidRPr="008E4586" w:rsidRDefault="00CE3918" w:rsidP="00CE391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lang w:val="en-GB"/>
        </w:rPr>
      </w:pPr>
      <w:r w:rsidRPr="008E4586">
        <w:rPr>
          <w:rFonts w:asciiTheme="minorHAnsi" w:hAnsiTheme="minorHAnsi" w:cstheme="minorHAnsi"/>
          <w:b/>
          <w:color w:val="000000"/>
          <w:lang w:val="en-GB"/>
        </w:rPr>
        <w:t>Academy / School Name</w:t>
      </w:r>
      <w:r w:rsidRPr="008E4586">
        <w:rPr>
          <w:rFonts w:asciiTheme="minorHAnsi" w:hAnsiTheme="minorHAnsi" w:cstheme="minorHAnsi"/>
          <w:color w:val="000000"/>
          <w:lang w:val="en-GB"/>
        </w:rPr>
        <w:t xml:space="preserve">: </w:t>
      </w:r>
      <w:r w:rsidR="00051BB3">
        <w:rPr>
          <w:rFonts w:asciiTheme="minorHAnsi" w:hAnsiTheme="minorHAnsi" w:cstheme="minorHAnsi"/>
          <w:i/>
          <w:color w:val="000000"/>
          <w:lang w:val="en-GB"/>
        </w:rPr>
        <w:t>St. Mary’s CE Primary Academy, Burton Latimer</w:t>
      </w:r>
    </w:p>
    <w:p w14:paraId="0D12088B" w14:textId="77777777" w:rsidR="00CE3918" w:rsidRPr="008E4586" w:rsidRDefault="00CE3918" w:rsidP="00CE391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i/>
          <w:color w:val="000000"/>
          <w:lang w:val="en-GB"/>
        </w:rPr>
      </w:pPr>
    </w:p>
    <w:p w14:paraId="498177B7" w14:textId="77777777" w:rsidR="00051BB3" w:rsidRDefault="00051BB3" w:rsidP="00051BB3">
      <w:r w:rsidRPr="009E7A75">
        <w:t xml:space="preserve">Our vision at St Mary’s is ‘everything is possible for one who believes’ from Mark 9:23. This is our vision for </w:t>
      </w:r>
      <w:r w:rsidRPr="009E7A75">
        <w:rPr>
          <w:b/>
          <w:bCs/>
          <w:i/>
          <w:iCs/>
        </w:rPr>
        <w:t xml:space="preserve">all </w:t>
      </w:r>
      <w:r w:rsidRPr="009E7A75">
        <w:t>learners at St Mary’s.</w:t>
      </w:r>
      <w:r>
        <w:t xml:space="preserve"> </w:t>
      </w:r>
      <w:r w:rsidRPr="00B61BE5">
        <w:t>At St. Mary’s CE</w:t>
      </w:r>
      <w:r>
        <w:t xml:space="preserve"> Primary Academy. We believe that all children, regardless of ability, culture, race or gender </w:t>
      </w:r>
      <w:r w:rsidRPr="009E7A75">
        <w:t>should be given every opportunity to achieve and make progress, not only academically, but also holistical</w:t>
      </w:r>
      <w:r>
        <w:t>ly.</w:t>
      </w:r>
    </w:p>
    <w:p w14:paraId="0CCEE560" w14:textId="77777777" w:rsidR="00051BB3" w:rsidRDefault="00051BB3" w:rsidP="00051BB3"/>
    <w:p w14:paraId="06DA8E10" w14:textId="77777777" w:rsidR="00051BB3" w:rsidRPr="009E7A75" w:rsidRDefault="00051BB3" w:rsidP="00051BB3">
      <w:r w:rsidRPr="009E7A75">
        <w:t>Our inclusive approach is one that identifies the needs of each individual child and ensures they are given the right support to achieve their dreams.</w:t>
      </w:r>
      <w:r>
        <w:t xml:space="preserve"> We aim to create a safe, secure and happy environment, where members of our school community </w:t>
      </w:r>
      <w:proofErr w:type="gramStart"/>
      <w:r>
        <w:t>are able to</w:t>
      </w:r>
      <w:proofErr w:type="gramEnd"/>
      <w:r>
        <w:t xml:space="preserve"> achieve their potential, regardless of their starting points. </w:t>
      </w:r>
    </w:p>
    <w:p w14:paraId="7AE21BFB" w14:textId="77777777" w:rsidR="00CE3918" w:rsidRPr="008E4586" w:rsidRDefault="00CE3918" w:rsidP="00CE3918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color w:val="000000"/>
          <w:lang w:val="en-GB"/>
        </w:rPr>
      </w:pPr>
    </w:p>
    <w:tbl>
      <w:tblPr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94"/>
        <w:gridCol w:w="4820"/>
      </w:tblGrid>
      <w:tr w:rsidR="00CE3918" w:rsidRPr="008E4586" w14:paraId="004E516E" w14:textId="77777777" w:rsidTr="00CE3918">
        <w:tc>
          <w:tcPr>
            <w:tcW w:w="4394" w:type="dxa"/>
            <w:shd w:val="clear" w:color="auto" w:fill="E0E0E0"/>
          </w:tcPr>
          <w:p w14:paraId="4F58602C" w14:textId="77777777" w:rsidR="00CE3918" w:rsidRPr="008E4586" w:rsidRDefault="00CE3918" w:rsidP="00CE3918">
            <w:pPr>
              <w:pStyle w:val="Normal1"/>
              <w:ind w:left="459" w:hanging="426"/>
              <w:rPr>
                <w:rFonts w:asciiTheme="minorHAnsi" w:hAnsiTheme="minorHAnsi" w:cstheme="minorHAnsi"/>
                <w:b/>
                <w:lang w:val="en-GB"/>
              </w:rPr>
            </w:pPr>
            <w:r w:rsidRPr="008E4586">
              <w:rPr>
                <w:rFonts w:asciiTheme="minorHAnsi" w:hAnsiTheme="minorHAnsi" w:cstheme="minorHAnsi"/>
                <w:b/>
                <w:lang w:val="en-GB"/>
              </w:rPr>
              <w:t>Role</w:t>
            </w:r>
          </w:p>
        </w:tc>
        <w:tc>
          <w:tcPr>
            <w:tcW w:w="4820" w:type="dxa"/>
            <w:shd w:val="clear" w:color="auto" w:fill="E0E0E0"/>
          </w:tcPr>
          <w:p w14:paraId="0C6E58B8" w14:textId="77777777" w:rsidR="00CE3918" w:rsidRPr="008E4586" w:rsidRDefault="00CE3918" w:rsidP="00C92125">
            <w:pPr>
              <w:pStyle w:val="Normal1"/>
              <w:jc w:val="center"/>
              <w:rPr>
                <w:rFonts w:asciiTheme="minorHAnsi" w:hAnsiTheme="minorHAnsi" w:cstheme="minorHAnsi"/>
                <w:b/>
                <w:lang w:val="en-GB"/>
              </w:rPr>
            </w:pPr>
            <w:r w:rsidRPr="008E4586">
              <w:rPr>
                <w:rFonts w:asciiTheme="minorHAnsi" w:hAnsiTheme="minorHAnsi" w:cstheme="minorHAnsi"/>
                <w:b/>
                <w:lang w:val="en-GB"/>
              </w:rPr>
              <w:t>Designated Person</w:t>
            </w:r>
          </w:p>
        </w:tc>
      </w:tr>
      <w:tr w:rsidR="00CE3918" w:rsidRPr="008E4586" w14:paraId="1BF7EF39" w14:textId="77777777" w:rsidTr="00051BB3">
        <w:tc>
          <w:tcPr>
            <w:tcW w:w="4394" w:type="dxa"/>
          </w:tcPr>
          <w:p w14:paraId="5796A07B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</w:p>
          <w:p w14:paraId="48977F61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  <w:r w:rsidRPr="008E4586">
              <w:rPr>
                <w:rFonts w:asciiTheme="minorHAnsi" w:hAnsiTheme="minorHAnsi" w:cstheme="minorHAnsi"/>
                <w:lang w:val="en-GB"/>
              </w:rPr>
              <w:t>Headteacher</w:t>
            </w:r>
          </w:p>
          <w:p w14:paraId="76FE754A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  <w:vAlign w:val="center"/>
          </w:tcPr>
          <w:p w14:paraId="1AE69BE9" w14:textId="0A76118E" w:rsidR="00CE3918" w:rsidRPr="008E4586" w:rsidRDefault="00051BB3" w:rsidP="00051BB3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Sarah Reynolds</w:t>
            </w:r>
          </w:p>
        </w:tc>
      </w:tr>
      <w:tr w:rsidR="00CE3918" w:rsidRPr="008E4586" w14:paraId="49469015" w14:textId="77777777" w:rsidTr="00051BB3">
        <w:tc>
          <w:tcPr>
            <w:tcW w:w="4394" w:type="dxa"/>
          </w:tcPr>
          <w:p w14:paraId="11A10C51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</w:p>
          <w:p w14:paraId="6A623226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  <w:r w:rsidRPr="008E4586">
              <w:rPr>
                <w:rFonts w:asciiTheme="minorHAnsi" w:hAnsiTheme="minorHAnsi" w:cstheme="minorHAnsi"/>
                <w:lang w:val="en-GB"/>
              </w:rPr>
              <w:t>SENCO</w:t>
            </w:r>
          </w:p>
          <w:p w14:paraId="542ADAE2" w14:textId="77777777" w:rsidR="00CE3918" w:rsidRPr="008E4586" w:rsidRDefault="00CE3918" w:rsidP="00C92125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4820" w:type="dxa"/>
            <w:vAlign w:val="center"/>
          </w:tcPr>
          <w:p w14:paraId="0B1BEC58" w14:textId="618BE530" w:rsidR="00CE3918" w:rsidRPr="008E4586" w:rsidRDefault="00051BB3" w:rsidP="00051BB3">
            <w:pPr>
              <w:pStyle w:val="Normal1"/>
              <w:rPr>
                <w:rFonts w:asciiTheme="minorHAnsi" w:hAnsiTheme="minorHAnsi" w:cstheme="minorHAnsi"/>
                <w:lang w:val="en-GB"/>
              </w:rPr>
            </w:pPr>
            <w:r>
              <w:rPr>
                <w:rFonts w:asciiTheme="minorHAnsi" w:hAnsiTheme="minorHAnsi" w:cstheme="minorHAnsi"/>
                <w:lang w:val="en-GB"/>
              </w:rPr>
              <w:t>Abbie Price</w:t>
            </w:r>
          </w:p>
        </w:tc>
      </w:tr>
    </w:tbl>
    <w:p w14:paraId="33126499" w14:textId="77777777" w:rsidR="00CE3918" w:rsidRPr="008E4586" w:rsidRDefault="00CE3918" w:rsidP="00CE3918">
      <w:pPr>
        <w:pStyle w:val="Normal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63AA1BCB" w14:textId="77777777" w:rsidR="00CE3918" w:rsidRPr="008E4586" w:rsidRDefault="00CE3918" w:rsidP="00CE3918">
      <w:pPr>
        <w:pStyle w:val="Normal1"/>
        <w:rPr>
          <w:rFonts w:asciiTheme="minorHAnsi" w:hAnsiTheme="minorHAnsi" w:cstheme="minorHAnsi"/>
          <w:b/>
          <w:sz w:val="24"/>
          <w:szCs w:val="24"/>
          <w:lang w:val="en-GB"/>
        </w:rPr>
      </w:pPr>
    </w:p>
    <w:p w14:paraId="0FF92F43" w14:textId="77777777" w:rsidR="00CE3918" w:rsidRPr="008E4586" w:rsidRDefault="00CE3918" w:rsidP="00CE3918">
      <w:pPr>
        <w:pStyle w:val="Normal1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E4586">
        <w:rPr>
          <w:rFonts w:asciiTheme="minorHAnsi" w:hAnsiTheme="minorHAnsi" w:cstheme="minorHAnsi"/>
          <w:b/>
          <w:sz w:val="24"/>
          <w:szCs w:val="24"/>
          <w:lang w:val="en-GB"/>
        </w:rPr>
        <w:t>10. Working in partnership with other professionals</w:t>
      </w:r>
    </w:p>
    <w:p w14:paraId="6596E21F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 w:cstheme="minorHAnsi"/>
          <w:sz w:val="24"/>
          <w:szCs w:val="24"/>
          <w:lang w:val="en-GB"/>
        </w:rPr>
      </w:pPr>
    </w:p>
    <w:p w14:paraId="0320B75D" w14:textId="77777777" w:rsidR="00051BB3" w:rsidRDefault="00CE3918" w:rsidP="00CE3918">
      <w:pPr>
        <w:pStyle w:val="Normal1"/>
        <w:rPr>
          <w:rFonts w:asciiTheme="minorHAnsi" w:hAnsiTheme="minorHAnsi" w:cstheme="minorHAnsi"/>
          <w:sz w:val="24"/>
          <w:szCs w:val="24"/>
          <w:lang w:val="en-GB"/>
        </w:rPr>
      </w:pPr>
      <w:r w:rsidRPr="008E4586">
        <w:rPr>
          <w:rFonts w:asciiTheme="minorHAnsi" w:hAnsiTheme="minorHAnsi" w:cstheme="minorHAnsi"/>
          <w:sz w:val="24"/>
          <w:szCs w:val="24"/>
          <w:lang w:val="en-GB"/>
        </w:rPr>
        <w:t xml:space="preserve">We work with a range of external agencies to provide support for pupils with SEND.  These include: </w:t>
      </w:r>
    </w:p>
    <w:p w14:paraId="505E4685" w14:textId="3D871AEC" w:rsidR="00051BB3" w:rsidRPr="008E4586" w:rsidRDefault="00051BB3" w:rsidP="00CE3918">
      <w:pPr>
        <w:pStyle w:val="Normal1"/>
        <w:rPr>
          <w:rFonts w:asciiTheme="minorHAnsi" w:hAnsiTheme="minorHAnsi" w:cstheme="minorHAnsi"/>
          <w:i/>
          <w:sz w:val="24"/>
          <w:szCs w:val="24"/>
          <w:highlight w:val="yellow"/>
          <w:lang w:val="en-GB"/>
        </w:rPr>
      </w:pPr>
      <w:r w:rsidRPr="00051BB3">
        <w:rPr>
          <w:rFonts w:asciiTheme="minorHAnsi" w:hAnsiTheme="minorHAnsi" w:cstheme="minorHAnsi"/>
          <w:i/>
          <w:sz w:val="24"/>
          <w:szCs w:val="24"/>
          <w:lang w:val="en-GB"/>
        </w:rPr>
        <w:t xml:space="preserve">Mosaic Psychology, Rowan Gate Outreach, </w:t>
      </w:r>
      <w:proofErr w:type="spellStart"/>
      <w:r w:rsidRPr="00051BB3">
        <w:rPr>
          <w:rFonts w:asciiTheme="minorHAnsi" w:hAnsiTheme="minorHAnsi" w:cstheme="minorHAnsi"/>
          <w:i/>
          <w:sz w:val="24"/>
          <w:szCs w:val="24"/>
          <w:lang w:val="en-GB"/>
        </w:rPr>
        <w:t>Maplefields</w:t>
      </w:r>
      <w:proofErr w:type="spellEnd"/>
      <w:r w:rsidRPr="00051BB3">
        <w:rPr>
          <w:rFonts w:asciiTheme="minorHAnsi" w:hAnsiTheme="minorHAnsi" w:cstheme="minorHAnsi"/>
          <w:i/>
          <w:sz w:val="24"/>
          <w:szCs w:val="24"/>
          <w:lang w:val="en-GB"/>
        </w:rPr>
        <w:t xml:space="preserve"> Outreach, Jogo Behaviour Specialists, SEND Support Service (SSS), Sensory Impairment Service (SIS), NHS Practitioners (Community Paediatricians, Occupational Therapists, Physiotherapists), 0-19 School Nursing Team, Kids Aid, Mental Health Support Team (MHST). </w:t>
      </w:r>
    </w:p>
    <w:p w14:paraId="53E15AB7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lang w:val="en-GB"/>
        </w:rPr>
      </w:pPr>
    </w:p>
    <w:p w14:paraId="0761F686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lang w:val="en-GB"/>
        </w:rPr>
      </w:pPr>
    </w:p>
    <w:p w14:paraId="543B3690" w14:textId="77777777" w:rsidR="00CE3918" w:rsidRPr="008E4586" w:rsidRDefault="00CE3918" w:rsidP="00CE3918">
      <w:pPr>
        <w:pStyle w:val="Normal1"/>
        <w:rPr>
          <w:rFonts w:asciiTheme="minorHAnsi" w:hAnsiTheme="minorHAnsi" w:cstheme="minorHAnsi"/>
          <w:b/>
          <w:sz w:val="24"/>
          <w:szCs w:val="24"/>
          <w:lang w:val="en-GB"/>
        </w:rPr>
      </w:pPr>
      <w:r w:rsidRPr="008E4586">
        <w:rPr>
          <w:rFonts w:asciiTheme="minorHAnsi" w:hAnsiTheme="minorHAnsi" w:cstheme="minorHAnsi"/>
          <w:b/>
          <w:sz w:val="24"/>
          <w:szCs w:val="24"/>
          <w:lang w:val="en-GB"/>
        </w:rPr>
        <w:t>11.</w:t>
      </w:r>
      <w:r w:rsidRPr="008E4586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8E4586">
        <w:rPr>
          <w:rFonts w:asciiTheme="minorHAnsi" w:hAnsiTheme="minorHAnsi" w:cstheme="minorHAnsi"/>
          <w:b/>
          <w:sz w:val="24"/>
          <w:szCs w:val="24"/>
          <w:lang w:val="en-GB"/>
        </w:rPr>
        <w:t xml:space="preserve">Expertise and training of staff </w:t>
      </w:r>
    </w:p>
    <w:p w14:paraId="7EA921E1" w14:textId="77777777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lang w:val="en-GB"/>
        </w:rPr>
      </w:pPr>
    </w:p>
    <w:p w14:paraId="3985A056" w14:textId="743C9966" w:rsidR="00CE3918" w:rsidRPr="008E4586" w:rsidRDefault="00CE3918" w:rsidP="00CE3918">
      <w:pPr>
        <w:pStyle w:val="Normal1"/>
        <w:widowControl/>
        <w:pBdr>
          <w:top w:val="nil"/>
          <w:left w:val="nil"/>
          <w:bottom w:val="nil"/>
          <w:right w:val="nil"/>
          <w:between w:val="nil"/>
        </w:pBdr>
        <w:rPr>
          <w:rFonts w:asciiTheme="minorHAnsi" w:hAnsiTheme="minorHAnsi" w:cstheme="minorHAnsi"/>
          <w:sz w:val="24"/>
          <w:szCs w:val="24"/>
          <w:lang w:val="en-GB"/>
        </w:rPr>
      </w:pPr>
      <w:r w:rsidRPr="008E4586">
        <w:rPr>
          <w:rFonts w:asciiTheme="minorHAnsi" w:hAnsiTheme="minorHAnsi" w:cstheme="minorHAnsi"/>
          <w:sz w:val="24"/>
          <w:szCs w:val="24"/>
          <w:lang w:val="en-GB"/>
        </w:rPr>
        <w:t>Our SENCO holds the required</w:t>
      </w:r>
      <w:r w:rsidRPr="008E4586">
        <w:rPr>
          <w:rFonts w:asciiTheme="minorHAnsi" w:hAnsiTheme="minorHAnsi" w:cstheme="minorHAnsi"/>
        </w:rPr>
        <w:t xml:space="preserve"> </w:t>
      </w:r>
      <w:r w:rsidRPr="008E4586">
        <w:rPr>
          <w:rFonts w:asciiTheme="minorHAnsi" w:hAnsiTheme="minorHAnsi" w:cstheme="minorHAnsi"/>
          <w:sz w:val="24"/>
          <w:szCs w:val="24"/>
          <w:lang w:val="en-GB"/>
        </w:rPr>
        <w:t xml:space="preserve">National Award for Special Educational Needs (NASENCO). </w:t>
      </w:r>
    </w:p>
    <w:p w14:paraId="5664D6C9" w14:textId="77777777" w:rsidR="00CE3918" w:rsidRPr="008E4586" w:rsidRDefault="00CE3918" w:rsidP="00CE3918">
      <w:pPr>
        <w:rPr>
          <w:rFonts w:asciiTheme="minorHAnsi" w:hAnsiTheme="minorHAnsi" w:cstheme="minorHAnsi"/>
        </w:rPr>
      </w:pPr>
    </w:p>
    <w:p w14:paraId="7590CB29" w14:textId="53D5E1DA" w:rsidR="003931FE" w:rsidRDefault="00CE3918" w:rsidP="00CE3918">
      <w:pPr>
        <w:rPr>
          <w:rFonts w:asciiTheme="minorHAnsi" w:hAnsiTheme="minorHAnsi" w:cstheme="minorHAnsi"/>
          <w:sz w:val="24"/>
          <w:szCs w:val="24"/>
        </w:rPr>
      </w:pPr>
      <w:r w:rsidRPr="008E4586">
        <w:rPr>
          <w:rFonts w:asciiTheme="minorHAnsi" w:hAnsiTheme="minorHAnsi" w:cstheme="minorHAnsi"/>
          <w:sz w:val="24"/>
          <w:szCs w:val="24"/>
        </w:rPr>
        <w:t>School staff have specific training and expertise in the following areas:</w:t>
      </w:r>
    </w:p>
    <w:p w14:paraId="584B8351" w14:textId="1466A377" w:rsidR="00051BB3" w:rsidRP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51BB3">
        <w:rPr>
          <w:rFonts w:asciiTheme="minorHAnsi" w:hAnsiTheme="minorHAnsi" w:cstheme="minorHAnsi"/>
          <w:i/>
          <w:iCs/>
          <w:sz w:val="24"/>
          <w:szCs w:val="24"/>
        </w:rPr>
        <w:t>Zones of Regulation</w:t>
      </w:r>
    </w:p>
    <w:p w14:paraId="690E09E0" w14:textId="41023389" w:rsidR="00051BB3" w:rsidRP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51BB3">
        <w:rPr>
          <w:rFonts w:asciiTheme="minorHAnsi" w:hAnsiTheme="minorHAnsi" w:cstheme="minorHAnsi"/>
          <w:i/>
          <w:iCs/>
          <w:sz w:val="24"/>
          <w:szCs w:val="24"/>
        </w:rPr>
        <w:t>Emotion Coaching</w:t>
      </w:r>
    </w:p>
    <w:p w14:paraId="2067CD3A" w14:textId="3BCC65A7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 w:rsidRPr="00051BB3">
        <w:rPr>
          <w:rFonts w:asciiTheme="minorHAnsi" w:hAnsiTheme="minorHAnsi" w:cstheme="minorHAnsi"/>
          <w:i/>
          <w:iCs/>
          <w:sz w:val="24"/>
          <w:szCs w:val="24"/>
        </w:rPr>
        <w:t>Team Teach</w:t>
      </w:r>
    </w:p>
    <w:p w14:paraId="01586E74" w14:textId="77777777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Supporting children with ASD and communication difficulties</w:t>
      </w:r>
    </w:p>
    <w:p w14:paraId="50E9BA0C" w14:textId="1602B7F8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 xml:space="preserve">Speech and Language intervention programmes –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Chatterway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, speech sound production</w:t>
      </w:r>
    </w:p>
    <w:p w14:paraId="4E0C2709" w14:textId="6C86438C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Colourful Semantics</w:t>
      </w:r>
    </w:p>
    <w:p w14:paraId="54D4A995" w14:textId="66C0137F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Supporting children with SEMH needs</w:t>
      </w:r>
    </w:p>
    <w:p w14:paraId="5D7DDCE4" w14:textId="4ACB41F3" w:rsidR="00051BB3" w:rsidRDefault="00051BB3" w:rsidP="00CE3918">
      <w:pPr>
        <w:rPr>
          <w:rFonts w:asciiTheme="minorHAnsi" w:hAnsiTheme="minorHAnsi" w:cstheme="minorHAnsi"/>
          <w:i/>
          <w:iCs/>
          <w:sz w:val="24"/>
          <w:szCs w:val="24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Supporting children with EBSA</w:t>
      </w:r>
    </w:p>
    <w:p w14:paraId="4AA52B9E" w14:textId="5A84DEFE" w:rsidR="00051BB3" w:rsidRPr="008E4586" w:rsidRDefault="001413ED" w:rsidP="00CE391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iCs/>
          <w:sz w:val="24"/>
          <w:szCs w:val="24"/>
        </w:rPr>
        <w:t>Emotional Literacy Support Assistants (ELSA)</w:t>
      </w:r>
      <w:r>
        <w:rPr>
          <w:rFonts w:asciiTheme="minorHAnsi" w:hAnsiTheme="minorHAnsi" w:cstheme="minorHAnsi"/>
          <w:i/>
          <w:iCs/>
          <w:sz w:val="24"/>
          <w:szCs w:val="24"/>
        </w:rPr>
        <w:br/>
        <w:t xml:space="preserve">Medical interventions – </w:t>
      </w:r>
      <w:proofErr w:type="spellStart"/>
      <w:r>
        <w:rPr>
          <w:rFonts w:asciiTheme="minorHAnsi" w:hAnsiTheme="minorHAnsi" w:cstheme="minorHAnsi"/>
          <w:i/>
          <w:iCs/>
          <w:sz w:val="24"/>
          <w:szCs w:val="24"/>
        </w:rPr>
        <w:t>Epipen</w:t>
      </w:r>
      <w:proofErr w:type="spellEnd"/>
      <w:r>
        <w:rPr>
          <w:rFonts w:asciiTheme="minorHAnsi" w:hAnsiTheme="minorHAnsi" w:cstheme="minorHAnsi"/>
          <w:i/>
          <w:iCs/>
          <w:sz w:val="24"/>
          <w:szCs w:val="24"/>
        </w:rPr>
        <w:t>, catheterisation, type 1 diabetes management</w:t>
      </w:r>
    </w:p>
    <w:sectPr w:rsidR="00051BB3" w:rsidRPr="008E4586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1D37" w14:textId="77777777" w:rsidR="001455F4" w:rsidRDefault="001455F4" w:rsidP="00CE3918">
      <w:r>
        <w:separator/>
      </w:r>
    </w:p>
  </w:endnote>
  <w:endnote w:type="continuationSeparator" w:id="0">
    <w:p w14:paraId="3101D3B8" w14:textId="77777777" w:rsidR="001455F4" w:rsidRDefault="001455F4" w:rsidP="00CE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0B8DEB" w14:textId="77777777" w:rsidR="001455F4" w:rsidRDefault="001455F4" w:rsidP="00CE3918">
      <w:r>
        <w:separator/>
      </w:r>
    </w:p>
  </w:footnote>
  <w:footnote w:type="continuationSeparator" w:id="0">
    <w:p w14:paraId="1FBB1F27" w14:textId="77777777" w:rsidR="001455F4" w:rsidRDefault="001455F4" w:rsidP="00CE3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8B5FDB" w14:textId="77777777" w:rsidR="00CE3918" w:rsidRDefault="00CE3918" w:rsidP="00CE3918">
    <w:pPr>
      <w:jc w:val="right"/>
    </w:pPr>
    <w:r>
      <w:rPr>
        <w:rFonts w:ascii="Verdana" w:eastAsia="Times New Roman" w:hAnsi="Verdana" w:cs="Times New Roman"/>
        <w:i/>
        <w:noProof/>
        <w:color w:val="00B0F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0DDCBD09" wp14:editId="684CB91D">
          <wp:simplePos x="0" y="0"/>
          <wp:positionH relativeFrom="column">
            <wp:posOffset>-570230</wp:posOffset>
          </wp:positionH>
          <wp:positionV relativeFrom="paragraph">
            <wp:posOffset>-262255</wp:posOffset>
          </wp:positionV>
          <wp:extent cx="1983105" cy="720090"/>
          <wp:effectExtent l="0" t="0" r="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3105" cy="720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eastAsia="Times New Roman" w:hAnsi="Verdana" w:cs="Times New Roman"/>
        <w:b/>
        <w:i/>
        <w:color w:val="00B0F0"/>
        <w:sz w:val="20"/>
        <w:szCs w:val="20"/>
        <w:lang w:eastAsia="en-GB"/>
      </w:rPr>
      <w:t xml:space="preserve">   </w:t>
    </w:r>
    <w:r w:rsidRPr="009438F8">
      <w:rPr>
        <w:rFonts w:ascii="Verdana" w:eastAsia="Times New Roman" w:hAnsi="Verdana" w:cs="Times New Roman"/>
        <w:b/>
        <w:i/>
        <w:color w:val="00B0F0"/>
        <w:sz w:val="20"/>
        <w:szCs w:val="20"/>
        <w:lang w:eastAsia="en-GB"/>
      </w:rPr>
      <w:t>A cord of three strands is not easily broken</w:t>
    </w:r>
  </w:p>
  <w:p w14:paraId="60E93DAE" w14:textId="77777777" w:rsidR="00CE3918" w:rsidRDefault="00CE391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918"/>
    <w:rsid w:val="00051BB3"/>
    <w:rsid w:val="00120AF5"/>
    <w:rsid w:val="001413ED"/>
    <w:rsid w:val="001455F4"/>
    <w:rsid w:val="003931FE"/>
    <w:rsid w:val="00854E37"/>
    <w:rsid w:val="008E4586"/>
    <w:rsid w:val="009B4BF1"/>
    <w:rsid w:val="00CE3918"/>
    <w:rsid w:val="00F50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1EDFEC"/>
  <w15:chartTrackingRefBased/>
  <w15:docId w15:val="{6F5D941E-DAA1-4020-9DDF-0B247F9E5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18"/>
    <w:pPr>
      <w:widowControl w:val="0"/>
      <w:spacing w:after="0" w:line="240" w:lineRule="auto"/>
    </w:pPr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CE3918"/>
    <w:pPr>
      <w:widowControl w:val="0"/>
      <w:spacing w:after="0" w:line="240" w:lineRule="auto"/>
    </w:pPr>
    <w:rPr>
      <w:rFonts w:ascii="Arial" w:eastAsia="Arial" w:hAnsi="Arial" w:cs="Arial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E391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391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CE391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391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3E79C0964B9A4D94A67A92A946CFE7" ma:contentTypeVersion="14" ma:contentTypeDescription="Create a new document." ma:contentTypeScope="" ma:versionID="7d3861247970f282b5482b576b1f5703">
  <xsd:schema xmlns:xsd="http://www.w3.org/2001/XMLSchema" xmlns:xs="http://www.w3.org/2001/XMLSchema" xmlns:p="http://schemas.microsoft.com/office/2006/metadata/properties" xmlns:ns2="f4177eca-d11b-4a78-b8f8-c5d13da95ee0" xmlns:ns3="0d98a210-32bd-4c1a-9373-42c33857c311" targetNamespace="http://schemas.microsoft.com/office/2006/metadata/properties" ma:root="true" ma:fieldsID="c124bfb374f277c5eb9344117ffafcf9" ns2:_="" ns3:_="">
    <xsd:import namespace="f4177eca-d11b-4a78-b8f8-c5d13da95ee0"/>
    <xsd:import namespace="0d98a210-32bd-4c1a-9373-42c33857c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77eca-d11b-4a78-b8f8-c5d13da95e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a9e9309-7886-47f7-97e2-df2bb631c5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8a210-32bd-4c1a-9373-42c33857c31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77eca-d11b-4a78-b8f8-c5d13da95e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77A1212-92AE-4FF0-BC2C-AF7F584DE7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77eca-d11b-4a78-b8f8-c5d13da95ee0"/>
    <ds:schemaRef ds:uri="0d98a210-32bd-4c1a-9373-42c33857c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C0DA2C-C7F9-4CC0-B3EF-301D56DA69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9D837E-1892-424E-8EA3-03F4E52DEFF8}">
  <ds:schemaRefs>
    <ds:schemaRef ds:uri="http://schemas.microsoft.com/office/2006/metadata/properties"/>
    <ds:schemaRef ds:uri="http://schemas.microsoft.com/office/infopath/2007/PartnerControls"/>
    <ds:schemaRef ds:uri="f4177eca-d11b-4a78-b8f8-c5d13da95e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McLaverty</dc:creator>
  <cp:keywords/>
  <dc:description/>
  <cp:lastModifiedBy>A Price</cp:lastModifiedBy>
  <cp:revision>2</cp:revision>
  <dcterms:created xsi:type="dcterms:W3CDTF">2025-03-25T08:23:00Z</dcterms:created>
  <dcterms:modified xsi:type="dcterms:W3CDTF">2025-03-25T08:23:00Z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0x010100F83E79C0964B9A4D94A67A92A946CFE7</vt:lpwstr>
  </property>
  <property fmtid="{D5CDD505-2E9C-101B-9397-08002B2CF9AE}" pid="3" name="MediaServiceImageTags">
    <vt:lpwstr/>
  </property>
</Properties>
</file>